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8" w:rsidRPr="005C1D28" w:rsidRDefault="005C1D28" w:rsidP="005C1D28">
      <w:pPr>
        <w:spacing w:after="0" w:line="240" w:lineRule="auto"/>
        <w:outlineLvl w:val="0"/>
        <w:rPr>
          <w:rFonts w:ascii="Trebuchet MS" w:eastAsia="Times New Roman" w:hAnsi="Trebuchet MS" w:cs="Lucida Sans Unicode"/>
          <w:color w:val="C7C7C7"/>
          <w:spacing w:val="48"/>
          <w:kern w:val="36"/>
          <w:sz w:val="26"/>
          <w:szCs w:val="26"/>
          <w:lang w:eastAsia="pt-BR"/>
        </w:rPr>
      </w:pPr>
      <w:proofErr w:type="spellStart"/>
      <w:r w:rsidRPr="005C1D28">
        <w:rPr>
          <w:rFonts w:ascii="Verdana" w:eastAsia="Times New Roman" w:hAnsi="Verdana" w:cs="Lucida Sans Unicode"/>
          <w:color w:val="6600CC"/>
          <w:spacing w:val="48"/>
          <w:kern w:val="36"/>
          <w:sz w:val="48"/>
          <w:szCs w:val="48"/>
          <w:lang w:eastAsia="pt-BR"/>
        </w:rPr>
        <w:t>Boxplot</w:t>
      </w:r>
      <w:proofErr w:type="spellEnd"/>
    </w:p>
    <w:p w:rsidR="005C1D28" w:rsidRPr="005C1D28" w:rsidRDefault="005C1D28" w:rsidP="005C1D28">
      <w:pPr>
        <w:spacing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Você está aqui: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hyperlink r:id="rId4" w:history="1">
        <w:r w:rsidRPr="005C1D28">
          <w:rPr>
            <w:rFonts w:ascii="Lucida Sans Unicode" w:eastAsia="Times New Roman" w:hAnsi="Lucida Sans Unicode" w:cs="Lucida Sans Unicode"/>
            <w:color w:val="000000"/>
            <w:sz w:val="20"/>
            <w:u w:val="single"/>
            <w:lang w:eastAsia="pt-BR"/>
          </w:rPr>
          <w:t>Home</w:t>
        </w:r>
      </w:hyperlink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&gt;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hyperlink r:id="rId5" w:history="1">
        <w:r w:rsidRPr="005C1D28">
          <w:rPr>
            <w:rFonts w:ascii="Lucida Sans Unicode" w:eastAsia="Times New Roman" w:hAnsi="Lucida Sans Unicode" w:cs="Lucida Sans Unicode"/>
            <w:color w:val="000000"/>
            <w:sz w:val="20"/>
            <w:u w:val="single"/>
            <w:lang w:eastAsia="pt-BR"/>
          </w:rPr>
          <w:t>Usando R em Auditoria</w:t>
        </w:r>
      </w:hyperlink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&gt;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Lucida Sans Unicode" w:eastAsia="Times New Roman" w:hAnsi="Lucida Sans Unicode" w:cs="Lucida Sans Unicode"/>
          <w:b/>
          <w:bCs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 </w:t>
      </w:r>
    </w:p>
    <w:p w:rsidR="005C1D28" w:rsidRPr="005C1D28" w:rsidRDefault="005C1D28" w:rsidP="005C1D28">
      <w:pPr>
        <w:spacing w:before="240" w:after="240"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é um gráfico que possibilita representar a distribuição de um conjunto de dados com base em alguns de seus parâmetros descritivos, quais sejam: a mediana (q2), o quartil inferior (q1), o quartil superior (q3) e do intervalo interquartil (IQR = q3 - q1).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A figura a seguir apresenta 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, destacando suas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principaiscaracterísticas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:</w:t>
      </w:r>
    </w:p>
    <w:p w:rsidR="005C1D28" w:rsidRPr="005C1D28" w:rsidRDefault="005C1D28" w:rsidP="005C1D28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1"/>
          <w:szCs w:val="11"/>
          <w:bdr w:val="none" w:sz="0" w:space="0" w:color="auto" w:frame="1"/>
          <w:lang w:eastAsia="pt-BR"/>
        </w:rPr>
        <w:drawing>
          <wp:inline distT="0" distB="0" distL="0" distR="0">
            <wp:extent cx="3999865" cy="3988435"/>
            <wp:effectExtent l="19050" t="0" r="635" b="0"/>
            <wp:docPr id="1" name="Imagem 1" descr="http://marcosfs2006.googlepages.com/grafBoxplot_1.png/grafBoxplot_1-larg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osfs2006.googlepages.com/grafBoxplot_1.png/grafBoxplot_1-larg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28" w:rsidRPr="005C1D28" w:rsidRDefault="005C1D28" w:rsidP="005C1D28">
      <w:pPr>
        <w:spacing w:before="240" w:after="240"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A linha central da caixa marca a mediana do conjunto de dados. A parte inferior da caixa é delimitada pelo quartil inferior (q1) e a parte superior pelo quartil superior (q3). As hastes inferiores e superiores se estendem, respectivamente, do quartil inferior até o menor valor não inferior a q1 - 1.5IQR e do quartil superior até o maior valor não superior a q3 + 1.5IQR.  Os valores inferiores a q1 - 1.5IQR e superiores a q3 + 1.5IQR são representados individualmente no gráfico sendo estes valores caracterizados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como</w:t>
      </w:r>
      <w:r w:rsidRPr="005C1D28">
        <w:rPr>
          <w:rFonts w:ascii="Lucida Sans Unicode" w:eastAsia="Times New Roman" w:hAnsi="Lucida Sans Unicode" w:cs="Lucida Sans Unicode"/>
          <w:i/>
          <w:iCs/>
          <w:color w:val="888888"/>
          <w:sz w:val="20"/>
          <w:szCs w:val="20"/>
          <w:lang w:eastAsia="pt-BR"/>
        </w:rPr>
        <w:t>outliers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>As quantidades q1 - 1.5IQR e q3 + 1.5IQR delimitam, respectivamente, as cercas inferior e superior e constituem limites para além dos quais, como visto, os dados passam a ser considerados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Lucida Sans Unicode" w:eastAsia="Times New Roman" w:hAnsi="Lucida Sans Unicode" w:cs="Lucida Sans Unicode"/>
          <w:i/>
          <w:iCs/>
          <w:color w:val="888888"/>
          <w:sz w:val="20"/>
          <w:szCs w:val="20"/>
          <w:lang w:eastAsia="pt-BR"/>
        </w:rPr>
        <w:t>outliers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permite avaliar a simetria dos dados, sua dispersão e a existência ou não de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lastRenderedPageBreak/>
        <w:t>outliers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nos mesmos, sendo especialmente adequado para a comparação de dois ou mais conjuntos de dados correspondentes às categorias de uma variável qualitativa.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Para a construção do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será utilizado um conjunto de </w:t>
      </w:r>
      <w:proofErr w:type="gram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dados apresentado na página 233 do livro Análise Financeira de Balanços</w:t>
      </w:r>
      <w:proofErr w:type="gram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- Abordagem Básica e Gerencial (6a Edição) do Dante C. Matarazzo, relativo aos índices de liquidez corrente de empresas solventes e insolventes. O conjunto de dados chama-se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hyperlink r:id="rId8" w:history="1">
        <w:r w:rsidRPr="005C1D28">
          <w:rPr>
            <w:rFonts w:ascii="Courier New" w:eastAsia="Times New Roman" w:hAnsi="Courier New" w:cs="Courier New"/>
            <w:color w:val="000000"/>
            <w:sz w:val="20"/>
            <w:u w:val="single"/>
            <w:lang w:eastAsia="pt-BR"/>
          </w:rPr>
          <w:t>ilc.txt</w:t>
        </w:r>
      </w:hyperlink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é construído com a função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proofErr w:type="gram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(</w:t>
      </w:r>
      <w:proofErr w:type="gramEnd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)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do R.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val="en-US" w:eastAsia="pt-BR"/>
        </w:rPr>
        <w:t>&gt; empresas &lt;- read.table("ilc.txt", header=TRUE)</w:t>
      </w:r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val="en-US" w:eastAsia="pt-BR"/>
        </w:rPr>
        <w:br/>
        <w:t>&gt; str(empresas)</w:t>
      </w:r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val="en-US" w:eastAsia="pt-BR"/>
        </w:rPr>
        <w:br/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val="en-US" w:eastAsia="pt-BR"/>
        </w:rPr>
        <w:t>'data.frame':   99 obs. of  2 variables: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val="en-US" w:eastAsia="pt-BR"/>
        </w:rPr>
        <w:br/>
        <w:t> $ ilc     : num  1.86 1.89 1.93 1.94 1.97 2.85 2.02 2.1 3.02 1.43 ...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val="en-US" w:eastAsia="pt-BR"/>
        </w:rPr>
        <w:br/>
        <w:t> 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$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situacao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: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Factor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w/ 2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levels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"insolvente","solvente": 2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2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...</w:t>
      </w:r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Os dados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possem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duas variáveis (</w:t>
      </w:r>
      <w:proofErr w:type="spell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ilc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e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situacao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) e 99 registros ou observações.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>A variável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ilc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registra os índices de liquidez corrente das empresas avaliadas.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>Os registros iniciais da base de dados pode ser visualizada da seguinte forma:</w:t>
      </w:r>
    </w:p>
    <w:p w:rsidR="005C1D28" w:rsidRPr="005C1D28" w:rsidRDefault="005C1D28" w:rsidP="005C1D28">
      <w:pPr>
        <w:spacing w:before="240" w:after="240"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&gt; </w:t>
      </w:r>
      <w:proofErr w:type="spellStart"/>
      <w:proofErr w:type="gram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head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(</w:t>
      </w:r>
      <w:proofErr w:type="gram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empresas)</w:t>
      </w:r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br/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  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ilc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 xml:space="preserve"> </w:t>
      </w:r>
      <w:proofErr w:type="spellStart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t>situacao</w:t>
      </w:r>
      <w:proofErr w:type="spellEnd"/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1 1.86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2 1.89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3 1.93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4 1.94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5 1.97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  <w:t>6 2.85 solvente</w:t>
      </w:r>
      <w:r w:rsidRPr="005C1D28">
        <w:rPr>
          <w:rFonts w:ascii="Courier New" w:eastAsia="Times New Roman" w:hAnsi="Courier New" w:cs="Courier New"/>
          <w:color w:val="6600CC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  <w:t xml:space="preserve">Iremos agora construir um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para comparar a distribuição dos índices de liquidez corrente das empresas solventes e insolventes. O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boxplot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pode ser feito da seguinte forma: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br/>
      </w:r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&gt; </w:t>
      </w:r>
      <w:proofErr w:type="spellStart"/>
      <w:proofErr w:type="gram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boxplot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(</w:t>
      </w:r>
      <w:proofErr w:type="spellStart"/>
      <w:proofErr w:type="gram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ilc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 ~ </w:t>
      </w:r>
      <w:proofErr w:type="spell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situacao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, data=</w:t>
      </w:r>
      <w:proofErr w:type="spell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ilc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, </w:t>
      </w:r>
      <w:proofErr w:type="spell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main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="Solventes vs. Insolventes", </w:t>
      </w:r>
      <w:proofErr w:type="spell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xlab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 xml:space="preserve">="Situação da Empresa", </w:t>
      </w:r>
      <w:proofErr w:type="spellStart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ylab</w:t>
      </w:r>
      <w:proofErr w:type="spellEnd"/>
      <w:r w:rsidRPr="005C1D28">
        <w:rPr>
          <w:rFonts w:ascii="Courier New" w:eastAsia="Times New Roman" w:hAnsi="Courier New" w:cs="Courier New"/>
          <w:color w:val="FF0000"/>
          <w:sz w:val="20"/>
          <w:szCs w:val="20"/>
          <w:lang w:eastAsia="pt-BR"/>
        </w:rPr>
        <w:t>="Índice de Liquidez Corrente")</w:t>
      </w:r>
    </w:p>
    <w:p w:rsidR="005C1D28" w:rsidRPr="005C1D28" w:rsidRDefault="005C1D28" w:rsidP="005C1D28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1"/>
          <w:szCs w:val="1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999865" cy="3988435"/>
            <wp:effectExtent l="19050" t="0" r="635" b="0"/>
            <wp:docPr id="2" name="Imagem 2" descr="http://marcosfs2006.googlepages.com/grafBoxplot_2.png/grafBoxplot_2-lar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cosfs2006.googlepages.com/grafBoxplot_2.png/grafBoxplot_2-lar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28" w:rsidRPr="005C1D28" w:rsidRDefault="005C1D28" w:rsidP="005C1D28">
      <w:pPr>
        <w:spacing w:before="240" w:after="240"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O gráfico acima apresenta a distribuição da variável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ilc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segundo as categorias da variável</w:t>
      </w:r>
      <w:r w:rsidRPr="005C1D28">
        <w:rPr>
          <w:rFonts w:ascii="Lucida Sans Unicode" w:eastAsia="Times New Roman" w:hAnsi="Lucida Sans Unicode" w:cs="Lucida Sans Unicode"/>
          <w:color w:val="888888"/>
          <w:sz w:val="20"/>
          <w:lang w:eastAsia="pt-BR"/>
        </w:rPr>
        <w:t> </w:t>
      </w:r>
      <w:proofErr w:type="spellStart"/>
      <w:r w:rsidRPr="005C1D28">
        <w:rPr>
          <w:rFonts w:ascii="Courier New" w:eastAsia="Times New Roman" w:hAnsi="Courier New" w:cs="Courier New"/>
          <w:color w:val="888888"/>
          <w:sz w:val="20"/>
          <w:szCs w:val="20"/>
          <w:lang w:eastAsia="pt-BR"/>
        </w:rPr>
        <w:t>situacao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. Observando o gráfico, verifica-se que as empresas classificadas como solventes </w:t>
      </w:r>
      <w:proofErr w:type="spell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possem</w:t>
      </w:r>
      <w:proofErr w:type="spell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índices de liquidez </w:t>
      </w:r>
      <w:proofErr w:type="gramStart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>corrente em geral maiores</w:t>
      </w:r>
      <w:proofErr w:type="gramEnd"/>
      <w:r w:rsidRPr="005C1D28">
        <w:rPr>
          <w:rFonts w:ascii="Lucida Sans Unicode" w:eastAsia="Times New Roman" w:hAnsi="Lucida Sans Unicode" w:cs="Lucida Sans Unicode"/>
          <w:color w:val="888888"/>
          <w:sz w:val="20"/>
          <w:szCs w:val="20"/>
          <w:lang w:eastAsia="pt-BR"/>
        </w:rPr>
        <w:t xml:space="preserve"> que os índices das empresas classificadas como insolventes.</w:t>
      </w:r>
    </w:p>
    <w:p w:rsidR="005C1D28" w:rsidRPr="005C1D28" w:rsidRDefault="005C1D28" w:rsidP="005C1D28">
      <w:pPr>
        <w:spacing w:before="480" w:after="480" w:line="240" w:lineRule="auto"/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</w:pPr>
      <w:r w:rsidRPr="005C1D28">
        <w:rPr>
          <w:rFonts w:ascii="Lucida Sans Unicode" w:eastAsia="Times New Roman" w:hAnsi="Lucida Sans Unicode" w:cs="Lucida Sans Unicode"/>
          <w:color w:val="888888"/>
          <w:sz w:val="11"/>
          <w:szCs w:val="11"/>
          <w:lang w:eastAsia="pt-BR"/>
        </w:rPr>
        <w:pict>
          <v:rect id="_x0000_i1025" style="width:0;height:.45pt" o:hralign="center" o:hrstd="t" o:hrnoshade="t" o:hr="t" fillcolor="#eee" stroked="f"/>
        </w:pict>
      </w:r>
    </w:p>
    <w:p w:rsidR="009243B9" w:rsidRDefault="009243B9"/>
    <w:sectPr w:rsidR="009243B9" w:rsidSect="0092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1D28"/>
    <w:rsid w:val="005C1D28"/>
    <w:rsid w:val="009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9"/>
  </w:style>
  <w:style w:type="paragraph" w:styleId="Ttulo1">
    <w:name w:val="heading 1"/>
    <w:basedOn w:val="Normal"/>
    <w:link w:val="Ttulo1Char"/>
    <w:uiPriority w:val="9"/>
    <w:qFormat/>
    <w:rsid w:val="005C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1D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1D28"/>
  </w:style>
  <w:style w:type="character" w:styleId="Hyperlink">
    <w:name w:val="Hyperlink"/>
    <w:basedOn w:val="Fontepargpadro"/>
    <w:uiPriority w:val="99"/>
    <w:semiHidden/>
    <w:unhideWhenUsed/>
    <w:rsid w:val="005C1D28"/>
    <w:rPr>
      <w:color w:val="0000FF"/>
      <w:u w:val="single"/>
    </w:rPr>
  </w:style>
  <w:style w:type="paragraph" w:customStyle="1" w:styleId="separator">
    <w:name w:val="separator"/>
    <w:basedOn w:val="Normal"/>
    <w:rsid w:val="005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95">
          <w:marLeft w:val="0"/>
          <w:marRight w:val="0"/>
          <w:marTop w:val="0"/>
          <w:marBottom w:val="36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14620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single" w:sz="12" w:space="12" w:color="FFFFFF"/>
            <w:right w:val="none" w:sz="0" w:space="0" w:color="auto"/>
          </w:divBdr>
          <w:divsChild>
            <w:div w:id="550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sfs2006.googlepages.com/ilc.tx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cosfs2006.googlepages.com/grafBoxplot_1.png/grafBoxplot_1-full;init: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cosfs2006.googlepages.com/usandoremauditoria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marcosfs2006.googlepages.com/home" TargetMode="External"/><Relationship Id="rId9" Type="http://schemas.openxmlformats.org/officeDocument/2006/relationships/hyperlink" Target="http://marcosfs2006.googlepages.com/grafBoxplot_2.png/grafBoxplot_2-full;init: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2009-10-23T03:22:00Z</dcterms:created>
  <dcterms:modified xsi:type="dcterms:W3CDTF">2009-10-23T03:22:00Z</dcterms:modified>
</cp:coreProperties>
</file>